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1200" w:lineRule="exact"/>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仿宋_GB2312" w:cs="Times New Roman"/>
          <w:b w:val="0"/>
          <w:bCs w:val="0"/>
          <w:color w:val="auto"/>
          <w:sz w:val="32"/>
          <w:szCs w:val="32"/>
          <w:highlight w:val="none"/>
        </w:rPr>
        <w:t>惠</w:t>
      </w:r>
      <w:r>
        <w:rPr>
          <w:rFonts w:hint="default" w:ascii="Times New Roman" w:hAnsi="Times New Roman" w:eastAsia="仿宋_GB2312" w:cs="Times New Roman"/>
          <w:b w:val="0"/>
          <w:bCs w:val="0"/>
          <w:color w:val="auto"/>
          <w:sz w:val="32"/>
          <w:szCs w:val="32"/>
          <w:highlight w:val="none"/>
          <w:lang w:val="en-US" w:eastAsia="zh-CN"/>
        </w:rPr>
        <w:t>仲土挂告</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]0</w:t>
      </w:r>
      <w:r>
        <w:rPr>
          <w:rFonts w:hint="default" w:ascii="Times New Roman" w:hAnsi="Times New Roman" w:eastAsia="仿宋_GB2312" w:cs="Times New Roman"/>
          <w:b w:val="0"/>
          <w:bCs w:val="0"/>
          <w:color w:val="auto"/>
          <w:sz w:val="32"/>
          <w:szCs w:val="32"/>
          <w:highlight w:val="none"/>
          <w:lang w:val="en-US" w:eastAsia="zh-CN"/>
        </w:rPr>
        <w:t>2</w:t>
      </w:r>
      <w:r>
        <w:rPr>
          <w:rFonts w:hint="eastAsia"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根据《招标拍卖挂牌出让国有建设用地使用权规定》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国土资源部令第39号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和《广东省土地使用权交易市场管理规定》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广东省人民政府令第79号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的规定，经批准，</w:t>
      </w:r>
      <w:r>
        <w:rPr>
          <w:rFonts w:hint="default" w:ascii="Times New Roman" w:hAnsi="Times New Roman" w:eastAsia="仿宋_GB2312" w:cs="Times New Roman"/>
          <w:b w:val="0"/>
          <w:bCs w:val="0"/>
          <w:color w:val="auto"/>
          <w:sz w:val="32"/>
          <w:szCs w:val="32"/>
          <w:highlight w:val="none"/>
          <w:lang w:eastAsia="zh-CN"/>
        </w:rPr>
        <w:t>我</w:t>
      </w:r>
      <w:r>
        <w:rPr>
          <w:rFonts w:hint="default" w:ascii="Times New Roman" w:hAnsi="Times New Roman" w:eastAsia="仿宋_GB2312" w:cs="Times New Roman"/>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挂牌起始价及</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挂牌起始价为人</w:t>
      </w:r>
      <w:r>
        <w:rPr>
          <w:rFonts w:hint="default" w:ascii="Times New Roman" w:hAnsi="Times New Roman" w:eastAsia="仿宋_GB2312" w:cs="Times New Roman"/>
          <w:b w:val="0"/>
          <w:bCs w:val="0"/>
          <w:color w:val="auto"/>
          <w:sz w:val="32"/>
          <w:szCs w:val="32"/>
          <w:highlight w:val="none"/>
          <w:lang w:val="en-US" w:eastAsia="zh-CN"/>
        </w:rPr>
        <w:t>民币</w:t>
      </w:r>
      <w:r>
        <w:rPr>
          <w:rFonts w:hint="eastAsia" w:eastAsia="仿宋_GB2312" w:cs="Times New Roman"/>
          <w:b w:val="0"/>
          <w:bCs w:val="0"/>
          <w:color w:val="auto"/>
          <w:sz w:val="32"/>
          <w:szCs w:val="32"/>
          <w:highlight w:val="none"/>
          <w:lang w:val="en-US" w:eastAsia="zh-CN"/>
        </w:rPr>
        <w:t>49692</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rPr>
        <w:t>每次报价</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价幅度为人民币</w:t>
      </w:r>
      <w:r>
        <w:rPr>
          <w:rFonts w:hint="eastAsia" w:eastAsia="仿宋_GB2312" w:cs="Times New Roman"/>
          <w:b w:val="0"/>
          <w:bCs w:val="0"/>
          <w:color w:val="auto"/>
          <w:sz w:val="32"/>
          <w:szCs w:val="32"/>
          <w:highlight w:val="none"/>
          <w:lang w:val="en-US" w:eastAsia="zh-CN"/>
        </w:rPr>
        <w:t>750</w:t>
      </w:r>
      <w:r>
        <w:rPr>
          <w:rFonts w:hint="default" w:ascii="Times New Roman" w:hAnsi="Times New Roman" w:eastAsia="仿宋_GB2312" w:cs="Times New Roman"/>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（一）公告时间：</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日至</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日</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60" w:lineRule="exact"/>
        <w:ind w:left="319" w:leftChars="133" w:firstLine="320" w:firstLineChars="1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（二）网上挂牌竞买时间：</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 xml:space="preserve"> 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日9</w:t>
      </w:r>
      <w:r>
        <w:rPr>
          <w:rFonts w:hint="default" w:ascii="Times New Roman" w:hAnsi="Times New Roman" w:eastAsia="仿宋_GB2312" w:cs="Times New Roman"/>
          <w:b w:val="0"/>
          <w:bCs w:val="0"/>
          <w:color w:val="auto"/>
          <w:sz w:val="32"/>
          <w:szCs w:val="32"/>
          <w:highlight w:val="none"/>
        </w:rPr>
        <w:t>时至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 xml:space="preserve"> 17</w:t>
      </w:r>
      <w:r>
        <w:rPr>
          <w:rFonts w:hint="default" w:ascii="Times New Roman" w:hAnsi="Times New Roman" w:eastAsia="仿宋_GB2312" w:cs="Times New Roman"/>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竞买保证金到账截止时间为：</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rPr>
        <w:t>日</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四、竞买资格及要求</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（一）缴交竞买保证金</w:t>
      </w:r>
      <w:r>
        <w:rPr>
          <w:rFonts w:hint="eastAsia" w:eastAsia="仿宋_GB2312" w:cs="Times New Roman"/>
          <w:b w:val="0"/>
          <w:bCs w:val="0"/>
          <w:color w:val="auto"/>
          <w:sz w:val="32"/>
          <w:szCs w:val="32"/>
          <w:highlight w:val="none"/>
          <w:lang w:val="en-US" w:eastAsia="zh-CN"/>
        </w:rPr>
        <w:t>24846</w:t>
      </w:r>
      <w:r>
        <w:rPr>
          <w:rFonts w:hint="default" w:ascii="Times New Roman" w:hAnsi="Times New Roman" w:eastAsia="仿宋_GB2312" w:cs="Times New Roman"/>
          <w:b w:val="0"/>
          <w:bCs w:val="0"/>
          <w:color w:val="auto"/>
          <w:sz w:val="32"/>
          <w:szCs w:val="32"/>
          <w:highlight w:val="none"/>
          <w:lang w:eastAsia="zh-CN"/>
        </w:rPr>
        <w:t>万元人民币；</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bookmarkStart w:id="0" w:name="bookmark11"/>
      <w:r>
        <w:rPr>
          <w:rFonts w:hint="default" w:ascii="Times New Roman" w:hAnsi="Times New Roman" w:eastAsia="仿宋_GB2312" w:cs="Times New Roman"/>
          <w:color w:val="000000"/>
          <w:spacing w:val="0"/>
          <w:w w:val="100"/>
          <w:position w:val="0"/>
          <w:sz w:val="32"/>
          <w:szCs w:val="32"/>
          <w:highlight w:val="none"/>
        </w:rPr>
        <w:t>（</w:t>
      </w:r>
      <w:bookmarkEnd w:id="0"/>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r>
        <w:rPr>
          <w:rFonts w:hint="eastAsia" w:eastAsia="仿宋_GB2312" w:cs="Times New Roman"/>
          <w:color w:val="000000"/>
          <w:spacing w:val="0"/>
          <w:w w:val="100"/>
          <w:position w:val="0"/>
          <w:sz w:val="32"/>
          <w:szCs w:val="32"/>
          <w:highlight w:val="none"/>
          <w:lang w:eastAsia="zh-CN"/>
        </w:rPr>
        <w:t>；</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竞买申请人须具备房地产开发资质</w:t>
      </w:r>
      <w:r>
        <w:rPr>
          <w:rFonts w:hint="default" w:ascii="Times New Roman" w:hAnsi="Times New Roman" w:eastAsia="仿宋_GB2312" w:cs="Times New Roman"/>
          <w:b w:val="0"/>
          <w:bCs w:val="0"/>
          <w:color w:val="auto"/>
          <w:sz w:val="32"/>
          <w:szCs w:val="32"/>
          <w:highlight w:val="none"/>
          <w:lang w:eastAsia="zh-CN"/>
        </w:rPr>
        <w:t>（或者具备住建部门出具的房地产开发企业资质的核准意见）</w:t>
      </w:r>
      <w:r>
        <w:rPr>
          <w:rFonts w:hint="default" w:ascii="Times New Roman" w:hAnsi="Times New Roman" w:eastAsia="仿宋_GB2312" w:cs="Times New Roman"/>
          <w:b w:val="0"/>
          <w:bCs w:val="0"/>
          <w:color w:val="auto"/>
          <w:sz w:val="32"/>
          <w:szCs w:val="32"/>
          <w:highlight w:val="none"/>
          <w:lang w:val="en-US" w:eastAsia="zh-CN"/>
        </w:rPr>
        <w:t>，且同一企业及控股公司只允许一家企业参与竞买。</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（一）地块竞价溢价达到总地价</w:t>
      </w:r>
      <w:r>
        <w:rPr>
          <w:rFonts w:hint="eastAsia" w:ascii="Times New Roman" w:hAnsi="Times New Roman" w:cs="Times New Roman"/>
          <w:b w:val="0"/>
          <w:bCs w:val="0"/>
          <w:color w:val="auto"/>
          <w:sz w:val="32"/>
          <w:szCs w:val="32"/>
          <w:highlight w:val="none"/>
          <w:lang w:val="en-US" w:eastAsia="zh-CN"/>
        </w:rPr>
        <w:t>57145</w:t>
      </w:r>
      <w:r>
        <w:rPr>
          <w:rFonts w:hint="default" w:ascii="Times New Roman" w:hAnsi="Times New Roman" w:cs="Times New Roman"/>
          <w:b w:val="0"/>
          <w:bCs w:val="0"/>
          <w:color w:val="auto"/>
          <w:sz w:val="32"/>
          <w:szCs w:val="32"/>
          <w:highlight w:val="none"/>
          <w:lang w:val="en-US" w:eastAsia="zh-CN"/>
        </w:rPr>
        <w:t>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（二）该地块所建商品住房单套毛坯住房最高销售单价</w:t>
      </w:r>
      <w:r>
        <w:rPr>
          <w:rFonts w:hint="eastAsia" w:ascii="Times New Roman" w:hAnsi="Times New Roman" w:cs="Times New Roman"/>
          <w:b w:val="0"/>
          <w:bCs w:val="0"/>
          <w:color w:val="auto"/>
          <w:sz w:val="32"/>
          <w:szCs w:val="32"/>
          <w:highlight w:val="none"/>
          <w:lang w:val="en-US" w:eastAsia="zh-CN"/>
        </w:rPr>
        <w:t>12489</w:t>
      </w:r>
      <w:r>
        <w:rPr>
          <w:rFonts w:hint="default" w:ascii="Times New Roman" w:hAnsi="Times New Roman" w:cs="Times New Roman"/>
          <w:b w:val="0"/>
          <w:bCs w:val="0"/>
          <w:color w:val="auto"/>
          <w:sz w:val="32"/>
          <w:szCs w:val="32"/>
          <w:highlight w:val="none"/>
          <w:lang w:val="en-US" w:eastAsia="zh-CN"/>
        </w:rPr>
        <w:t>元/㎡；</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（四）竞得人除缴交成交地价款外，还需按规定缴交契税等有关税费；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r>
        <w:rPr>
          <w:rFonts w:hint="eastAsia" w:ascii="Times New Roman" w:hAnsi="Times New Roman" w:cs="Times New Roman"/>
          <w:b w:val="0"/>
          <w:bCs w:val="0"/>
          <w:color w:val="auto"/>
          <w:sz w:val="32"/>
          <w:szCs w:val="32"/>
          <w:highlight w:val="none"/>
          <w:lang w:val="en-US" w:eastAsia="zh-CN"/>
        </w:rPr>
        <w:t>；</w:t>
      </w:r>
    </w:p>
    <w:p>
      <w:pPr>
        <w:pStyle w:val="2"/>
        <w:keepNext w:val="0"/>
        <w:keepLines w:val="0"/>
        <w:pageBreakBefore w:val="0"/>
        <w:widowControl/>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bCs/>
          <w:szCs w:val="32"/>
          <w:highlight w:val="none"/>
          <w:lang w:val="en-US" w:eastAsia="zh-CN"/>
        </w:rPr>
      </w:pPr>
      <w:r>
        <w:rPr>
          <w:rFonts w:hint="default" w:ascii="Times New Roman" w:hAnsi="Times New Roman" w:eastAsia="仿宋_GB2312" w:cs="Times New Roman"/>
          <w:bCs/>
          <w:kern w:val="0"/>
          <w:sz w:val="32"/>
          <w:szCs w:val="32"/>
          <w:highlight w:val="none"/>
          <w:lang w:val="en-US" w:eastAsia="zh-CN" w:bidi="ar-SA"/>
        </w:rPr>
        <w:t>（六）</w:t>
      </w:r>
      <w:r>
        <w:rPr>
          <w:rFonts w:hint="default" w:ascii="Times New Roman" w:hAnsi="Times New Roman" w:eastAsia="仿宋_GB2312" w:cs="Times New Roman"/>
          <w:b w:val="0"/>
          <w:bCs w:val="0"/>
          <w:sz w:val="32"/>
          <w:szCs w:val="32"/>
          <w:highlight w:val="none"/>
          <w:lang w:val="en-US" w:eastAsia="zh-CN"/>
        </w:rPr>
        <w:t>为推进住宅区养老服务设施建设，竞得人须配建养老服务设施，建成后无偿移交给仲恺高新区社会事务局；由仲恺高新区社会事务局负责提供养老服务设施建设标准、审定建设方案，竞得人须与仲恺高新区社会事务局签订养老服务设施配建及监管协议。</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一</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该宗地竞买保证金为人民币</w:t>
      </w:r>
      <w:r>
        <w:rPr>
          <w:rFonts w:hint="eastAsia" w:ascii="Times New Roman" w:hAnsi="Times New Roman" w:cs="Times New Roman"/>
          <w:b w:val="0"/>
          <w:bCs w:val="0"/>
          <w:color w:val="auto"/>
          <w:sz w:val="32"/>
          <w:szCs w:val="32"/>
          <w:highlight w:val="none"/>
          <w:lang w:val="en-US" w:eastAsia="zh-CN"/>
        </w:rPr>
        <w:t>24846</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cs="Times New Roman"/>
          <w:b w:val="0"/>
          <w:bCs w:val="0"/>
          <w:color w:val="auto"/>
          <w:sz w:val="32"/>
          <w:szCs w:val="32"/>
          <w:highlight w:val="none"/>
          <w:lang w:eastAsia="zh-CN"/>
        </w:rPr>
        <w:t>。</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 w:name="bookmark19"/>
      <w:r>
        <w:rPr>
          <w:rFonts w:hint="default" w:ascii="Times New Roman" w:hAnsi="Times New Roman" w:eastAsia="仿宋_GB2312" w:cs="Times New Roman"/>
          <w:color w:val="000000"/>
          <w:spacing w:val="0"/>
          <w:w w:val="100"/>
          <w:position w:val="0"/>
          <w:sz w:val="32"/>
          <w:szCs w:val="32"/>
          <w:highlight w:val="none"/>
        </w:rPr>
        <w:t>（</w:t>
      </w:r>
      <w:bookmarkEnd w:id="1"/>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 w:name="bookmark20"/>
      <w:r>
        <w:rPr>
          <w:rFonts w:hint="default" w:ascii="Times New Roman" w:hAnsi="Times New Roman" w:eastAsia="仿宋_GB2312" w:cs="Times New Roman"/>
          <w:color w:val="000000"/>
          <w:spacing w:val="0"/>
          <w:w w:val="100"/>
          <w:position w:val="0"/>
          <w:sz w:val="32"/>
          <w:szCs w:val="32"/>
          <w:highlight w:val="none"/>
        </w:rPr>
        <w:t>（</w:t>
      </w:r>
      <w:bookmarkEnd w:id="2"/>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default" w:ascii="Times New Roman" w:hAnsi="Times New Roman" w:eastAsia="仿宋_GB2312" w:cs="Times New Roman"/>
          <w:b w:val="0"/>
          <w:bCs w:val="0"/>
          <w:color w:val="auto"/>
          <w:sz w:val="32"/>
          <w:szCs w:val="32"/>
          <w:highlight w:val="none"/>
          <w:lang w:val="en-US" w:eastAsia="zh-CN"/>
        </w:rPr>
        <w:t>符合竞买资格要求并</w:t>
      </w:r>
      <w:r>
        <w:rPr>
          <w:rFonts w:hint="default" w:ascii="Times New Roman" w:hAnsi="Times New Roman" w:eastAsia="仿宋_GB2312" w:cs="Times New Roman"/>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八、</w:t>
      </w:r>
      <w:r>
        <w:rPr>
          <w:rFonts w:hint="default" w:ascii="Times New Roman" w:hAnsi="Times New Roman" w:eastAsia="仿宋_GB2312" w:cs="Times New Roman"/>
          <w:b w:val="0"/>
          <w:bCs w:val="0"/>
          <w:color w:val="auto"/>
          <w:sz w:val="32"/>
          <w:szCs w:val="32"/>
          <w:highlight w:val="none"/>
        </w:rPr>
        <w:t>竞买人电子报价</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电子限时竞价</w:t>
      </w:r>
      <w:r>
        <w:rPr>
          <w:rFonts w:hint="default" w:ascii="Times New Roman" w:hAnsi="Times New Roman" w:cs="Times New Roman"/>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九、</w:t>
      </w:r>
      <w:r>
        <w:rPr>
          <w:rFonts w:hint="default" w:ascii="Times New Roman" w:hAnsi="Times New Roman" w:eastAsia="仿宋_GB2312" w:cs="Times New Roman"/>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w:t>
      </w:r>
      <w:r>
        <w:rPr>
          <w:rFonts w:hint="default" w:ascii="Times New Roman" w:hAnsi="Times New Roman" w:eastAsia="仿宋_GB2312" w:cs="Times New Roman"/>
          <w:b w:val="0"/>
          <w:bCs w:val="0"/>
          <w:color w:val="auto"/>
          <w:sz w:val="32"/>
          <w:szCs w:val="32"/>
          <w:highlight w:val="none"/>
          <w:lang w:eastAsia="zh-CN"/>
        </w:rPr>
        <w:t>宗</w:t>
      </w:r>
      <w:r>
        <w:rPr>
          <w:rFonts w:hint="default" w:ascii="Times New Roman" w:hAnsi="Times New Roman" w:eastAsia="仿宋_GB2312" w:cs="Times New Roman"/>
          <w:b w:val="0"/>
          <w:bCs w:val="0"/>
          <w:color w:val="auto"/>
          <w:sz w:val="32"/>
          <w:szCs w:val="32"/>
          <w:highlight w:val="none"/>
        </w:rPr>
        <w:t>国有建设用地使用权网上挂牌出让为无底价挂牌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w:t>
      </w:r>
      <w:r>
        <w:rPr>
          <w:rFonts w:hint="default" w:ascii="Times New Roman" w:hAnsi="Times New Roman" w:eastAsia="仿宋_GB2312" w:cs="Times New Roman"/>
          <w:b w:val="0"/>
          <w:bCs/>
          <w:sz w:val="32"/>
          <w:szCs w:val="32"/>
          <w:lang w:eastAsia="zh-CN"/>
        </w:rPr>
        <w:t>“限地价、摇号”</w:t>
      </w:r>
      <w:r>
        <w:rPr>
          <w:rFonts w:hint="default" w:ascii="Times New Roman" w:hAnsi="Times New Roman" w:eastAsia="仿宋_GB2312" w:cs="Times New Roman"/>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成交候选人应在网上挂牌交易系统确定成交候选人之日</w:t>
      </w:r>
      <w:r>
        <w:rPr>
          <w:rFonts w:hint="default"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起5个工作日内将竞买申请纸质材料提交至我局，由我局对竞买资格进行审查。我局将于202</w:t>
      </w:r>
      <w:r>
        <w:rPr>
          <w:rFonts w:hint="eastAsia"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3</w:t>
      </w:r>
      <w:r>
        <w:rPr>
          <w:rFonts w:hint="default"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年</w:t>
      </w:r>
      <w:r>
        <w:rPr>
          <w:rFonts w:hint="eastAsia"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1</w:t>
      </w:r>
      <w:r>
        <w:rPr>
          <w:rFonts w:hint="default"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月</w:t>
      </w:r>
      <w:r>
        <w:rPr>
          <w:rFonts w:hint="eastAsia"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2</w:t>
      </w:r>
      <w:r>
        <w:rPr>
          <w:rFonts w:hint="eastAsia" w:eastAsia="仿宋_GB2312" w:cs="Times New Roman"/>
          <w:b w:val="0"/>
          <w:bCs w:val="0"/>
          <w:color w:val="auto"/>
          <w:spacing w:val="0"/>
          <w:w w:val="100"/>
          <w:kern w:val="0"/>
          <w:position w:val="0"/>
          <w:sz w:val="32"/>
          <w:szCs w:val="32"/>
          <w:highlight w:val="none"/>
          <w:shd w:val="clear" w:color="auto" w:fill="auto"/>
          <w:lang w:val="en-US" w:eastAsia="zh-CN" w:bidi="en-US"/>
        </w:rPr>
        <w:t>9</w:t>
      </w:r>
      <w:bookmarkStart w:id="3" w:name="_GoBack"/>
      <w:bookmarkEnd w:id="3"/>
      <w:r>
        <w:rPr>
          <w:rFonts w:hint="default" w:ascii="Times New Roman" w:hAnsi="Times New Roman" w:eastAsia="仿宋_GB2312" w:cs="Times New Roman"/>
          <w:b w:val="0"/>
          <w:bCs w:val="0"/>
          <w:color w:val="auto"/>
          <w:spacing w:val="0"/>
          <w:w w:val="100"/>
          <w:kern w:val="0"/>
          <w:position w:val="0"/>
          <w:sz w:val="32"/>
          <w:szCs w:val="32"/>
          <w:highlight w:val="none"/>
          <w:shd w:val="clear" w:color="auto" w:fill="auto"/>
          <w:lang w:val="en-US" w:eastAsia="zh-CN" w:bidi="en-US"/>
        </w:rPr>
        <w:t>日前确定符合竞买资格的</w:t>
      </w:r>
      <w:r>
        <w:rPr>
          <w:rFonts w:hint="default" w:ascii="Times New Roman" w:hAnsi="Times New Roman" w:eastAsia="仿宋_GB2312" w:cs="Times New Roman"/>
          <w:b w:val="0"/>
          <w:bCs w:val="0"/>
          <w:color w:val="auto"/>
          <w:sz w:val="32"/>
          <w:szCs w:val="32"/>
          <w:highlight w:val="none"/>
        </w:rPr>
        <w:t xml:space="preserve">成交候选人为竞得人。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成交候选人资格审查须提交下列材料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一式两份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一</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《竞买申请书》（加盖公章）；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二</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《竞价结果通知书》（加盖公章）；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三</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《竞买保证金到账通知书》（加盖公章）；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四</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竞买保证金转账凭证复印件（加盖公章）；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五</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六</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法定代表人身份证复印件（加盖公章）；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七</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授权他人代理的授权委托书及代理人身份证复印件（核对原件）</w:t>
      </w:r>
      <w:r>
        <w:rPr>
          <w:rFonts w:hint="eastAsia" w:eastAsia="仿宋_GB2312" w:cs="Times New Roman"/>
          <w:b w:val="0"/>
          <w:bCs w:val="0"/>
          <w:color w:val="auto"/>
          <w:kern w:val="2"/>
          <w:sz w:val="32"/>
          <w:szCs w:val="32"/>
          <w:highlight w:val="none"/>
          <w:lang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（八）房地产开发资质材料</w:t>
      </w:r>
      <w:r>
        <w:rPr>
          <w:rFonts w:hint="eastAsia" w:eastAsia="仿宋_GB2312" w:cs="Times New Roman"/>
          <w:b w:val="0"/>
          <w:bCs w:val="0"/>
          <w:color w:val="auto"/>
          <w:kern w:val="2"/>
          <w:sz w:val="32"/>
          <w:szCs w:val="32"/>
          <w:highlight w:val="none"/>
          <w:lang w:val="en-US"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（九）购地资金来源承诺书</w:t>
      </w:r>
      <w:r>
        <w:rPr>
          <w:rFonts w:hint="eastAsia" w:eastAsia="仿宋_GB2312" w:cs="Times New Roman"/>
          <w:b w:val="0"/>
          <w:bCs w:val="0"/>
          <w:color w:val="auto"/>
          <w:kern w:val="2"/>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十一、</w:t>
      </w:r>
      <w:r>
        <w:rPr>
          <w:rFonts w:hint="default" w:ascii="Times New Roman" w:hAnsi="Times New Roman" w:eastAsia="仿宋_GB2312" w:cs="Times New Roman"/>
          <w:b w:val="0"/>
          <w:bCs w:val="0"/>
          <w:color w:val="auto"/>
          <w:sz w:val="32"/>
          <w:szCs w:val="32"/>
          <w:highlight w:val="none"/>
        </w:rPr>
        <w:t>签订成交确认书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出让合同</w:t>
      </w:r>
      <w:r>
        <w:rPr>
          <w:rFonts w:hint="default" w:ascii="Times New Roman" w:hAnsi="Times New Roman" w:eastAsia="仿宋_GB2312" w:cs="Times New Roman"/>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竞得人应在接到竞得人确定通知之日起</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个工作日内</w:t>
      </w:r>
      <w:r>
        <w:rPr>
          <w:rFonts w:hint="default" w:ascii="Times New Roman" w:hAnsi="Times New Roman" w:eastAsia="仿宋_GB2312" w:cs="Times New Roman"/>
          <w:b w:val="0"/>
          <w:bCs w:val="0"/>
          <w:color w:val="auto"/>
          <w:sz w:val="32"/>
          <w:szCs w:val="32"/>
          <w:highlight w:val="none"/>
          <w:lang w:eastAsia="zh-CN"/>
        </w:rPr>
        <w:t>与我局、</w:t>
      </w:r>
      <w:r>
        <w:rPr>
          <w:rFonts w:hint="default" w:ascii="Times New Roman" w:hAnsi="Times New Roman" w:eastAsia="仿宋_GB2312" w:cs="Times New Roman"/>
          <w:b w:val="0"/>
          <w:bCs w:val="0"/>
          <w:color w:val="auto"/>
          <w:sz w:val="32"/>
          <w:szCs w:val="32"/>
          <w:highlight w:val="none"/>
          <w:lang w:val="en-US" w:eastAsia="zh-CN"/>
        </w:rPr>
        <w:t>惠州市公共资源交易中心仲恺分中心</w:t>
      </w:r>
      <w:r>
        <w:rPr>
          <w:rFonts w:hint="default" w:ascii="Times New Roman" w:hAnsi="Times New Roman" w:eastAsia="仿宋_GB2312" w:cs="Times New Roman"/>
          <w:b w:val="0"/>
          <w:bCs w:val="0"/>
          <w:color w:val="auto"/>
          <w:sz w:val="32"/>
          <w:szCs w:val="32"/>
          <w:highlight w:val="none"/>
        </w:rPr>
        <w:t>签订《成交确认书》，签订《成交确认书》之日起5个工作日内，须向</w:t>
      </w:r>
      <w:r>
        <w:rPr>
          <w:rFonts w:hint="default" w:ascii="Times New Roman" w:hAnsi="Times New Roman" w:eastAsia="仿宋_GB2312" w:cs="Times New Roman"/>
          <w:b w:val="0"/>
          <w:bCs w:val="0"/>
          <w:color w:val="auto"/>
          <w:sz w:val="32"/>
          <w:szCs w:val="32"/>
          <w:highlight w:val="none"/>
          <w:lang w:val="en-US" w:eastAsia="zh-CN"/>
        </w:rPr>
        <w:t>我</w:t>
      </w:r>
      <w:r>
        <w:rPr>
          <w:rFonts w:hint="default" w:ascii="Times New Roman" w:hAnsi="Times New Roman" w:eastAsia="仿宋_GB2312" w:cs="Times New Roman"/>
          <w:b w:val="0"/>
          <w:bCs w:val="0"/>
          <w:color w:val="auto"/>
          <w:sz w:val="32"/>
          <w:szCs w:val="32"/>
          <w:highlight w:val="none"/>
        </w:rPr>
        <w:t>局提交申请受让国有建设用地使用权的有关材料；签订《成交确认书》之日起10个工作日内，须与</w:t>
      </w:r>
      <w:r>
        <w:rPr>
          <w:rFonts w:hint="default" w:ascii="Times New Roman" w:hAnsi="Times New Roman" w:eastAsia="仿宋_GB2312" w:cs="Times New Roman"/>
          <w:b w:val="0"/>
          <w:bCs w:val="0"/>
          <w:color w:val="auto"/>
          <w:sz w:val="32"/>
          <w:szCs w:val="32"/>
          <w:highlight w:val="none"/>
          <w:lang w:val="en-US" w:eastAsia="zh-CN"/>
        </w:rPr>
        <w:t>我局</w:t>
      </w:r>
      <w:r>
        <w:rPr>
          <w:rFonts w:hint="default" w:ascii="Times New Roman" w:hAnsi="Times New Roman" w:eastAsia="仿宋_GB2312" w:cs="Times New Roman"/>
          <w:b w:val="0"/>
          <w:bCs w:val="0"/>
          <w:color w:val="auto"/>
          <w:sz w:val="32"/>
          <w:szCs w:val="32"/>
          <w:highlight w:val="none"/>
        </w:rPr>
        <w:t>签订《出让合同》。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Cs/>
          <w:sz w:val="32"/>
          <w:szCs w:val="32"/>
          <w:highlight w:val="none"/>
        </w:rPr>
        <w:t>竞得人</w:t>
      </w:r>
      <w:r>
        <w:rPr>
          <w:rFonts w:hint="eastAsia" w:ascii="Times New Roman" w:hAnsi="Times New Roman" w:eastAsia="仿宋_GB2312" w:cs="Times New Roman"/>
          <w:bCs/>
          <w:sz w:val="32"/>
          <w:szCs w:val="32"/>
          <w:highlight w:val="none"/>
          <w:lang w:eastAsia="zh-CN"/>
        </w:rPr>
        <w:t>须在</w:t>
      </w:r>
      <w:r>
        <w:rPr>
          <w:rFonts w:hint="default" w:ascii="仿宋_GB2312" w:hAnsi="仿宋_GB2312" w:eastAsia="仿宋_GB2312" w:cs="仿宋_GB2312"/>
          <w:color w:val="auto"/>
          <w:kern w:val="2"/>
          <w:sz w:val="32"/>
          <w:szCs w:val="32"/>
          <w:u w:val="none"/>
          <w:lang w:val="en-US" w:eastAsia="zh-CN" w:bidi="ar-SA"/>
        </w:rPr>
        <w:t>《出让合同》签订之日起</w:t>
      </w:r>
      <w:r>
        <w:rPr>
          <w:rFonts w:hint="eastAsia" w:ascii="仿宋_GB2312" w:hAnsi="仿宋_GB2312" w:eastAsia="仿宋_GB2312" w:cs="仿宋_GB2312"/>
          <w:color w:val="auto"/>
          <w:kern w:val="2"/>
          <w:sz w:val="32"/>
          <w:szCs w:val="32"/>
          <w:u w:val="none"/>
          <w:lang w:val="en-US" w:eastAsia="zh-CN" w:bidi="ar-SA"/>
        </w:rPr>
        <w:t>一年</w:t>
      </w:r>
      <w:r>
        <w:rPr>
          <w:rFonts w:hint="default" w:ascii="仿宋_GB2312" w:hAnsi="仿宋_GB2312" w:eastAsia="仿宋_GB2312" w:cs="仿宋_GB2312"/>
          <w:color w:val="auto"/>
          <w:kern w:val="2"/>
          <w:sz w:val="32"/>
          <w:szCs w:val="32"/>
          <w:u w:val="none"/>
          <w:lang w:val="en-US" w:eastAsia="zh-CN" w:bidi="ar-SA"/>
        </w:rPr>
        <w:t>内一次性付清</w:t>
      </w:r>
      <w:r>
        <w:rPr>
          <w:rFonts w:hint="eastAsia" w:ascii="仿宋_GB2312" w:hAnsi="仿宋_GB2312" w:eastAsia="仿宋_GB2312" w:cs="仿宋_GB2312"/>
          <w:color w:val="auto"/>
          <w:kern w:val="2"/>
          <w:sz w:val="32"/>
          <w:szCs w:val="32"/>
          <w:u w:val="none"/>
          <w:lang w:val="en-US" w:eastAsia="zh-CN" w:bidi="ar-SA"/>
        </w:rPr>
        <w:t>除</w:t>
      </w:r>
      <w:r>
        <w:rPr>
          <w:rFonts w:hint="default" w:ascii="仿宋_GB2312" w:hAnsi="仿宋_GB2312" w:eastAsia="仿宋_GB2312" w:cs="仿宋_GB2312"/>
          <w:color w:val="auto"/>
          <w:kern w:val="2"/>
          <w:sz w:val="32"/>
          <w:szCs w:val="32"/>
          <w:u w:val="none"/>
          <w:lang w:val="en-US" w:eastAsia="zh-CN" w:bidi="ar-SA"/>
        </w:rPr>
        <w:t>保证金</w:t>
      </w:r>
      <w:r>
        <w:rPr>
          <w:rFonts w:hint="eastAsia" w:ascii="仿宋_GB2312" w:hAnsi="仿宋_GB2312" w:eastAsia="仿宋_GB2312" w:cs="仿宋_GB2312"/>
          <w:color w:val="auto"/>
          <w:kern w:val="2"/>
          <w:sz w:val="32"/>
          <w:szCs w:val="32"/>
          <w:u w:val="none"/>
          <w:lang w:val="en-US" w:eastAsia="zh-CN" w:bidi="ar-SA"/>
        </w:rPr>
        <w:t>外的剩余土地出让金，剩余土地出让金付清前按</w:t>
      </w:r>
      <w:r>
        <w:rPr>
          <w:rFonts w:hint="default" w:ascii="仿宋_GB2312" w:hAnsi="仿宋_GB2312" w:eastAsia="仿宋_GB2312" w:cs="仿宋_GB2312"/>
          <w:color w:val="auto"/>
          <w:kern w:val="2"/>
          <w:sz w:val="32"/>
          <w:szCs w:val="32"/>
          <w:u w:val="none"/>
          <w:lang w:val="en-US" w:eastAsia="zh-CN" w:bidi="ar-SA"/>
        </w:rPr>
        <w:t>《出让合同》签订</w:t>
      </w:r>
      <w:r>
        <w:rPr>
          <w:rFonts w:hint="eastAsia" w:ascii="仿宋_GB2312" w:hAnsi="仿宋_GB2312" w:eastAsia="仿宋_GB2312" w:cs="仿宋_GB2312"/>
          <w:color w:val="auto"/>
          <w:kern w:val="2"/>
          <w:sz w:val="32"/>
          <w:szCs w:val="32"/>
          <w:u w:val="none"/>
          <w:lang w:val="en-US" w:eastAsia="zh-CN" w:bidi="ar-SA"/>
        </w:rPr>
        <w:t>当日中国人民银行公布的一年期金融机构人民币贷款基准利率（LPR）向出让方支付利息，利息须在开具缴款通知单后3日内一次性付清</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十二、</w:t>
      </w:r>
      <w:r>
        <w:rPr>
          <w:rFonts w:hint="default" w:ascii="Times New Roman" w:hAnsi="Times New Roman" w:eastAsia="仿宋_GB2312" w:cs="Times New Roman"/>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（二）有意竞买者可以自行到地块现场踏勘（可在网上挂牌交易系统查阅</w:t>
      </w:r>
      <w:r>
        <w:rPr>
          <w:rFonts w:hint="default" w:ascii="Times New Roman" w:hAnsi="Times New Roman" w:eastAsia="仿宋_GB2312" w:cs="Times New Roman"/>
          <w:b w:val="0"/>
          <w:bCs w:val="0"/>
          <w:color w:val="auto"/>
          <w:sz w:val="32"/>
          <w:szCs w:val="32"/>
          <w:highlight w:val="none"/>
          <w:lang w:val="en-US" w:eastAsia="zh-CN"/>
        </w:rPr>
        <w:t>用地红线图</w:t>
      </w:r>
      <w:r>
        <w:rPr>
          <w:rFonts w:hint="default" w:ascii="Times New Roman" w:hAnsi="Times New Roman" w:eastAsia="仿宋_GB2312" w:cs="Times New Roman"/>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（五）该宗地交易全程适用</w:t>
      </w:r>
      <w:r>
        <w:rPr>
          <w:rFonts w:hint="default" w:ascii="Times New Roman" w:hAnsi="Times New Roman" w:eastAsia="仿宋_GB2312" w:cs="Times New Roman"/>
          <w:b w:val="0"/>
          <w:bCs w:val="0"/>
          <w:color w:val="auto"/>
          <w:sz w:val="32"/>
          <w:szCs w:val="32"/>
          <w:highlight w:val="none"/>
        </w:rPr>
        <w:t>《惠州市政务服务数据管理局</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惠州市公共资源交易中心公共资源电子交易规则》</w:t>
      </w:r>
      <w:r>
        <w:rPr>
          <w:rFonts w:hint="default" w:ascii="Times New Roman" w:hAnsi="Times New Roman" w:eastAsia="仿宋_GB2312" w:cs="Times New Roman"/>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十五、</w:t>
      </w:r>
      <w:r>
        <w:rPr>
          <w:rFonts w:hint="default" w:ascii="Times New Roman" w:hAnsi="Times New Roman" w:eastAsia="仿宋_GB2312" w:cs="Times New Roman"/>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eastAsia"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rPr>
        <w:t>联系人：</w:t>
      </w:r>
      <w:r>
        <w:rPr>
          <w:rFonts w:hint="eastAsia" w:eastAsia="仿宋_GB2312" w:cs="Times New Roman"/>
          <w:b w:val="0"/>
          <w:bCs w:val="0"/>
          <w:color w:val="auto"/>
          <w:sz w:val="32"/>
          <w:szCs w:val="32"/>
          <w:highlight w:val="none"/>
          <w:lang w:eastAsia="zh-CN"/>
        </w:rPr>
        <w:t>赖仕彬</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sz w:val="32"/>
          <w:szCs w:val="32"/>
          <w:highlight w:val="none"/>
          <w:lang w:val="en-US" w:eastAsia="en-US"/>
        </w:rPr>
        <w:t>0752-32716</w:t>
      </w:r>
      <w:r>
        <w:rPr>
          <w:rFonts w:hint="default" w:ascii="Times New Roman" w:hAnsi="Times New Roman" w:eastAsia="仿宋_GB2312" w:cs="Times New Roman"/>
          <w:b w:val="0"/>
          <w:bCs w:val="0"/>
          <w:color w:val="auto"/>
          <w:sz w:val="32"/>
          <w:szCs w:val="32"/>
          <w:highlight w:val="none"/>
          <w:lang w:val="en-US" w:eastAsia="zh-CN"/>
        </w:rPr>
        <w:t>33</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交易机构：惠州市公共资源交易中心</w:t>
      </w:r>
      <w:r>
        <w:rPr>
          <w:rFonts w:hint="default" w:ascii="Times New Roman" w:hAnsi="Times New Roman" w:eastAsia="仿宋_GB2312" w:cs="Times New Roman"/>
          <w:b w:val="0"/>
          <w:bCs w:val="0"/>
          <w:color w:val="auto"/>
          <w:sz w:val="32"/>
          <w:szCs w:val="32"/>
          <w:highlight w:val="none"/>
          <w:lang w:eastAsia="zh-CN"/>
        </w:rPr>
        <w:t>仲恺</w:t>
      </w:r>
      <w:r>
        <w:rPr>
          <w:rFonts w:hint="default" w:ascii="Times New Roman" w:hAnsi="Times New Roman" w:eastAsia="仿宋_GB2312" w:cs="Times New Roman"/>
          <w:b w:val="0"/>
          <w:bCs w:val="0"/>
          <w:color w:val="auto"/>
          <w:sz w:val="32"/>
          <w:szCs w:val="32"/>
          <w:highlight w:val="none"/>
        </w:rPr>
        <w:t>分中心</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联系地址：</w:t>
      </w:r>
      <w:r>
        <w:rPr>
          <w:rFonts w:hint="default" w:ascii="Times New Roman" w:hAnsi="Times New Roman" w:eastAsia="仿宋_GB2312" w:cs="Times New Roman"/>
          <w:b w:val="0"/>
          <w:bCs w:val="0"/>
          <w:color w:val="auto"/>
          <w:kern w:val="0"/>
          <w:sz w:val="32"/>
          <w:szCs w:val="32"/>
          <w:highlight w:val="none"/>
        </w:rPr>
        <w:t>广东省惠州市仲恺高新区和畅五路人才服务</w:t>
      </w:r>
    </w:p>
    <w:p>
      <w:pPr>
        <w:pStyle w:val="18"/>
        <w:keepNext w:val="0"/>
        <w:keepLines w:val="0"/>
        <w:pageBreakBefore w:val="0"/>
        <w:widowControl w:val="0"/>
        <w:kinsoku/>
        <w:wordWrap/>
        <w:overflowPunct/>
        <w:topLinePunct w:val="0"/>
        <w:autoSpaceDE/>
        <w:autoSpaceDN/>
        <w:bidi w:val="0"/>
        <w:spacing w:line="560" w:lineRule="exact"/>
        <w:ind w:firstLine="2240" w:firstLineChars="7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大厦10楼</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kern w:val="0"/>
          <w:sz w:val="32"/>
          <w:szCs w:val="32"/>
          <w:highlight w:val="none"/>
        </w:rPr>
        <w:t>汪</w:t>
      </w:r>
      <w:r>
        <w:rPr>
          <w:rFonts w:hint="default" w:ascii="Times New Roman" w:hAnsi="Times New Roman" w:eastAsia="仿宋_GB2312" w:cs="Times New Roman"/>
          <w:b w:val="0"/>
          <w:bCs w:val="0"/>
          <w:color w:val="auto"/>
          <w:kern w:val="0"/>
          <w:sz w:val="32"/>
          <w:szCs w:val="32"/>
          <w:highlight w:val="none"/>
          <w:lang w:val="en-US" w:eastAsia="zh-CN"/>
        </w:rPr>
        <w:t>鑫</w:t>
      </w:r>
      <w:r>
        <w:rPr>
          <w:rFonts w:hint="default" w:ascii="Times New Roman" w:hAnsi="Times New Roman" w:eastAsia="仿宋_GB2312" w:cs="Times New Roman"/>
          <w:b w:val="0"/>
          <w:bCs w:val="0"/>
          <w:color w:val="auto"/>
          <w:kern w:val="0"/>
          <w:sz w:val="32"/>
          <w:szCs w:val="32"/>
          <w:highlight w:val="none"/>
        </w:rPr>
        <w:t xml:space="preserve"> </w:t>
      </w:r>
      <w:r>
        <w:rPr>
          <w:rFonts w:hint="eastAsia" w:eastAsia="仿宋_GB2312" w:cs="Times New Roman"/>
          <w:b w:val="0"/>
          <w:bCs w:val="0"/>
          <w:color w:val="auto"/>
          <w:kern w:val="0"/>
          <w:sz w:val="32"/>
          <w:szCs w:val="32"/>
          <w:highlight w:val="none"/>
          <w:lang w:val="en-US" w:eastAsia="zh-CN"/>
        </w:rPr>
        <w:t xml:space="preserve">房曦 </w:t>
      </w:r>
      <w:r>
        <w:rPr>
          <w:rFonts w:hint="default" w:ascii="Times New Roman" w:hAnsi="Times New Roman" w:eastAsia="仿宋_GB2312" w:cs="Times New Roman"/>
          <w:b w:val="0"/>
          <w:bCs w:val="0"/>
          <w:color w:val="auto"/>
          <w:kern w:val="0"/>
          <w:sz w:val="32"/>
          <w:szCs w:val="32"/>
          <w:highlight w:val="none"/>
          <w:lang w:val="en-US" w:eastAsia="zh-CN"/>
        </w:rPr>
        <w:t>欧阳海棠</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kern w:val="0"/>
          <w:sz w:val="32"/>
          <w:szCs w:val="32"/>
          <w:highlight w:val="none"/>
        </w:rPr>
        <w:t>0752-</w:t>
      </w:r>
      <w:r>
        <w:rPr>
          <w:rFonts w:hint="eastAsia" w:eastAsia="仿宋_GB2312" w:cs="Times New Roman"/>
          <w:b w:val="0"/>
          <w:bCs w:val="0"/>
          <w:color w:val="auto"/>
          <w:kern w:val="0"/>
          <w:sz w:val="32"/>
          <w:szCs w:val="32"/>
          <w:highlight w:val="none"/>
          <w:lang w:val="en-US" w:eastAsia="zh-CN"/>
        </w:rPr>
        <w:t>3278</w:t>
      </w:r>
      <w:r>
        <w:rPr>
          <w:rFonts w:hint="default" w:ascii="Times New Roman" w:hAnsi="Times New Roman" w:eastAsia="仿宋_GB2312" w:cs="Times New Roman"/>
          <w:b w:val="0"/>
          <w:bCs w:val="0"/>
          <w:color w:val="auto"/>
          <w:kern w:val="0"/>
          <w:sz w:val="32"/>
          <w:szCs w:val="32"/>
          <w:highlight w:val="none"/>
        </w:rPr>
        <w:t>419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惠州市公共资源交易中心网：</w:t>
      </w:r>
      <w:r>
        <w:rPr>
          <w:rFonts w:hint="default" w:ascii="Times New Roman" w:hAnsi="Times New Roman" w:eastAsia="仿宋_GB2312" w:cs="Times New Roman"/>
          <w:b w:val="0"/>
          <w:bCs w:val="0"/>
          <w:color w:val="auto"/>
          <w:sz w:val="32"/>
          <w:szCs w:val="32"/>
          <w:highlight w:val="none"/>
        </w:rPr>
        <w:fldChar w:fldCharType="begin"/>
      </w:r>
      <w:r>
        <w:rPr>
          <w:rFonts w:hint="default" w:ascii="Times New Roman" w:hAnsi="Times New Roman" w:eastAsia="仿宋_GB2312" w:cs="Times New Roman"/>
          <w:b w:val="0"/>
          <w:bCs w:val="0"/>
          <w:color w:val="auto"/>
          <w:sz w:val="32"/>
          <w:szCs w:val="32"/>
          <w:highlight w:val="none"/>
        </w:rPr>
        <w:instrText xml:space="preserve"> HYPERLINK "http://zyjy.huizhou.gov.cn" </w:instrText>
      </w:r>
      <w:r>
        <w:rPr>
          <w:rFonts w:hint="default" w:ascii="Times New Roman" w:hAnsi="Times New Roman" w:eastAsia="仿宋_GB2312" w:cs="Times New Roman"/>
          <w:b w:val="0"/>
          <w:bCs w:val="0"/>
          <w:color w:val="auto"/>
          <w:sz w:val="32"/>
          <w:szCs w:val="32"/>
          <w:highlight w:val="none"/>
        </w:rPr>
        <w:fldChar w:fldCharType="separate"/>
      </w:r>
      <w:r>
        <w:rPr>
          <w:rFonts w:hint="default" w:ascii="Times New Roman" w:hAnsi="Times New Roman" w:eastAsia="仿宋_GB2312" w:cs="Times New Roman"/>
          <w:b w:val="0"/>
          <w:bCs w:val="0"/>
          <w:color w:val="auto"/>
          <w:sz w:val="32"/>
          <w:szCs w:val="32"/>
          <w:highlight w:val="none"/>
        </w:rPr>
        <w:t>http://zyjy.huizhou.gov.cn</w:t>
      </w:r>
      <w:r>
        <w:rPr>
          <w:rFonts w:hint="default" w:ascii="Times New Roman" w:hAnsi="Times New Roman" w:eastAsia="仿宋_GB2312" w:cs="Times New Roman"/>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网站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fldChar w:fldCharType="begin"/>
      </w:r>
      <w:r>
        <w:rPr>
          <w:rFonts w:hint="default" w:ascii="Times New Roman" w:hAnsi="Times New Roman" w:eastAsia="仿宋_GB2312" w:cs="Times New Roman"/>
          <w:b w:val="0"/>
          <w:bCs w:val="0"/>
          <w:color w:val="auto"/>
          <w:sz w:val="32"/>
          <w:szCs w:val="32"/>
          <w:highlight w:val="none"/>
          <w:lang w:eastAsia="zh-CN"/>
        </w:rPr>
        <w:instrText xml:space="preserve"> HYPERLINK "http://www.hzzk.gov.cn/gwhbm/hzsggzyjyzxzzfzx/index.html" </w:instrText>
      </w:r>
      <w:r>
        <w:rPr>
          <w:rFonts w:hint="default" w:ascii="Times New Roman" w:hAnsi="Times New Roman" w:eastAsia="仿宋_GB2312" w:cs="Times New Roman"/>
          <w:b w:val="0"/>
          <w:bCs w:val="0"/>
          <w:color w:val="auto"/>
          <w:sz w:val="32"/>
          <w:szCs w:val="32"/>
          <w:highlight w:val="none"/>
          <w:lang w:eastAsia="zh-CN"/>
        </w:rPr>
        <w:fldChar w:fldCharType="separate"/>
      </w:r>
      <w:r>
        <w:rPr>
          <w:rStyle w:val="11"/>
          <w:rFonts w:hint="default" w:ascii="Times New Roman" w:hAnsi="Times New Roman" w:eastAsia="仿宋_GB2312" w:cs="Times New Roman"/>
          <w:b w:val="0"/>
          <w:bCs w:val="0"/>
          <w:color w:val="auto"/>
          <w:sz w:val="32"/>
          <w:szCs w:val="32"/>
          <w:highlight w:val="none"/>
          <w:lang w:eastAsia="zh-CN"/>
        </w:rPr>
        <w:t>http://www.hzzk.gov.cn/gwhbm/hzsggzyjyzxzzfzx/index.html</w:t>
      </w:r>
      <w:r>
        <w:rPr>
          <w:rFonts w:hint="default" w:ascii="Times New Roman" w:hAnsi="Times New Roman" w:eastAsia="仿宋_GB2312" w:cs="Times New Roman"/>
          <w:b w:val="0"/>
          <w:bCs w:val="0"/>
          <w:color w:val="auto"/>
          <w:sz w:val="32"/>
          <w:szCs w:val="32"/>
          <w:highlight w:val="none"/>
          <w:lang w:eastAsia="zh-CN"/>
        </w:rPr>
        <w:fldChar w:fldCharType="end"/>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lang w:val="en-US" w:eastAsia="zh-CN"/>
        </w:rPr>
        <w:t>惠州市仲恺高新区国土资源分局网站：</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HYPERLINK "http://www.hzzk.gov.cn/gwhbm/zzgxqgtzyfj/"</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http://www.hzzk.gov.cn/gwhbm/zzgxqgtzyfj/</w:t>
      </w:r>
      <w:r>
        <w:rPr>
          <w:rFonts w:hint="default" w:ascii="Times New Roman" w:hAnsi="Times New Roman" w:eastAsia="仿宋_GB2312" w:cs="Times New Roman"/>
          <w:lang w:val="en-US" w:eastAsia="zh-CN"/>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联系电话：0752-7121029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jc w:val="righ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惠州市仲恺高新区国土资源分局    </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sectPr>
          <w:footerReference r:id="rId3" w:type="default"/>
          <w:pgSz w:w="11906" w:h="16838"/>
          <w:pgMar w:top="2098" w:right="1417" w:bottom="1984" w:left="1587"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17"/>
        <w:keepNext w:val="0"/>
        <w:keepLines w:val="0"/>
        <w:widowControl w:val="0"/>
        <w:shd w:val="clear" w:color="auto" w:fill="auto"/>
        <w:bidi w:val="0"/>
        <w:spacing w:before="0" w:after="260" w:line="240" w:lineRule="auto"/>
        <w:ind w:left="0" w:leftChars="0" w:right="0" w:firstLine="0" w:firstLineChars="0"/>
        <w:jc w:val="left"/>
        <w:rPr>
          <w:rFonts w:hint="default" w:ascii="Times New Roman" w:hAnsi="Times New Roman" w:eastAsia="黑体" w:cs="Times New Roman"/>
        </w:rPr>
      </w:pPr>
      <w:r>
        <w:rPr>
          <w:rFonts w:hint="default" w:ascii="Times New Roman" w:hAnsi="Times New Roman" w:eastAsia="黑体" w:cs="Times New Roman"/>
          <w:color w:val="000000"/>
          <w:spacing w:val="0"/>
          <w:w w:val="100"/>
          <w:position w:val="0"/>
        </w:rPr>
        <w:t>附表:</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eastAsia="方正小标宋_GBK" w:cs="Times New Roman"/>
          <w:color w:val="000000"/>
          <w:spacing w:val="0"/>
          <w:w w:val="100"/>
          <w:position w:val="0"/>
          <w:sz w:val="44"/>
          <w:szCs w:val="44"/>
        </w:rPr>
      </w:pPr>
      <w:r>
        <w:rPr>
          <w:rFonts w:hint="default" w:ascii="Times New Roman" w:hAnsi="Times New Roman" w:eastAsia="方正小标宋_GBK" w:cs="Times New Roman"/>
          <w:color w:val="000000"/>
          <w:spacing w:val="0"/>
          <w:w w:val="100"/>
          <w:position w:val="0"/>
          <w:sz w:val="44"/>
          <w:szCs w:val="44"/>
        </w:rPr>
        <w:t>网上挂牌出让地块基本情况及规划建设指标</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cs="Times New Roman"/>
          <w:color w:val="000000"/>
          <w:spacing w:val="0"/>
          <w:w w:val="100"/>
          <w:position w:val="0"/>
        </w:rPr>
      </w:pPr>
    </w:p>
    <w:tbl>
      <w:tblPr>
        <w:tblStyle w:val="9"/>
        <w:tblW w:w="15612" w:type="dxa"/>
        <w:jc w:val="center"/>
        <w:tblLayout w:type="fixed"/>
        <w:tblCellMar>
          <w:top w:w="0" w:type="dxa"/>
          <w:left w:w="10" w:type="dxa"/>
          <w:bottom w:w="0" w:type="dxa"/>
          <w:right w:w="10" w:type="dxa"/>
        </w:tblCellMar>
      </w:tblPr>
      <w:tblGrid>
        <w:gridCol w:w="595"/>
        <w:gridCol w:w="840"/>
        <w:gridCol w:w="744"/>
        <w:gridCol w:w="749"/>
        <w:gridCol w:w="1116"/>
        <w:gridCol w:w="936"/>
        <w:gridCol w:w="708"/>
        <w:gridCol w:w="664"/>
        <w:gridCol w:w="1234"/>
        <w:gridCol w:w="875"/>
        <w:gridCol w:w="1997"/>
        <w:gridCol w:w="445"/>
        <w:gridCol w:w="1085"/>
        <w:gridCol w:w="864"/>
        <w:gridCol w:w="840"/>
        <w:gridCol w:w="1056"/>
        <w:gridCol w:w="864"/>
      </w:tblGrid>
      <w:tr>
        <w:tblPrEx>
          <w:tblCellMar>
            <w:top w:w="0" w:type="dxa"/>
            <w:left w:w="10" w:type="dxa"/>
            <w:bottom w:w="0" w:type="dxa"/>
            <w:right w:w="10" w:type="dxa"/>
          </w:tblCellMar>
        </w:tblPrEx>
        <w:trPr>
          <w:trHeight w:val="432" w:hRule="exact"/>
          <w:jc w:val="center"/>
        </w:trPr>
        <w:tc>
          <w:tcPr>
            <w:tcW w:w="595"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挂牌地块编号</w:t>
            </w:r>
          </w:p>
        </w:tc>
        <w:tc>
          <w:tcPr>
            <w:tcW w:w="840"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土地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位置</w:t>
            </w:r>
          </w:p>
        </w:tc>
        <w:tc>
          <w:tcPr>
            <w:tcW w:w="744"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用地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编</w:t>
            </w:r>
            <w:r>
              <w:rPr>
                <w:rFonts w:hint="default" w:ascii="Times New Roman" w:hAnsi="Times New Roman" w:eastAsia="宋体" w:cs="Times New Roman"/>
                <w:color w:val="000000"/>
                <w:spacing w:val="0"/>
                <w:w w:val="100"/>
                <w:position w:val="0"/>
                <w:sz w:val="22"/>
                <w:szCs w:val="22"/>
                <w:lang w:val="en-US" w:eastAsia="zh-CN"/>
              </w:rPr>
              <w:t>号</w:t>
            </w:r>
          </w:p>
        </w:tc>
        <w:tc>
          <w:tcPr>
            <w:tcW w:w="749"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en-US" w:eastAsia="zh-CN"/>
              </w:rPr>
              <w:t>土</w:t>
            </w:r>
            <w:r>
              <w:rPr>
                <w:rFonts w:hint="default" w:ascii="Times New Roman" w:hAnsi="Times New Roman" w:eastAsia="宋体" w:cs="Times New Roman"/>
                <w:color w:val="000000"/>
                <w:spacing w:val="0"/>
                <w:w w:val="100"/>
                <w:position w:val="0"/>
                <w:sz w:val="22"/>
                <w:szCs w:val="22"/>
              </w:rPr>
              <w:t>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用途</w:t>
            </w:r>
          </w:p>
        </w:tc>
        <w:tc>
          <w:tcPr>
            <w:tcW w:w="7975" w:type="dxa"/>
            <w:gridSpan w:val="8"/>
            <w:tcBorders>
              <w:top w:val="single" w:color="auto" w:sz="4" w:space="0"/>
              <w:left w:val="single" w:color="auto" w:sz="4" w:space="0"/>
            </w:tcBorders>
            <w:shd w:val="clear" w:color="auto" w:fill="auto"/>
            <w:vAlign w:val="bottom"/>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规划指标要求</w:t>
            </w:r>
          </w:p>
        </w:tc>
        <w:tc>
          <w:tcPr>
            <w:tcW w:w="1085"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出让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年限</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挂牌</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加价</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幅度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竞买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595"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840"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744"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749"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111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计算指标用地面积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宗地使用权面积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rPr>
            </w:pPr>
            <w:r>
              <w:rPr>
                <w:rFonts w:hint="default" w:ascii="Times New Roman" w:hAnsi="Times New Roman" w:eastAsia="宋体" w:cs="Times New Roman"/>
                <w:color w:val="000000"/>
                <w:spacing w:val="0"/>
                <w:w w:val="100"/>
                <w:position w:val="0"/>
                <w:sz w:val="22"/>
                <w:szCs w:val="22"/>
                <w:lang w:val="en-US" w:eastAsia="zh-CN"/>
              </w:rPr>
              <w:t>（%）</w:t>
            </w:r>
          </w:p>
        </w:tc>
        <w:tc>
          <w:tcPr>
            <w:tcW w:w="664"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积</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R</w:t>
            </w:r>
          </w:p>
        </w:tc>
        <w:tc>
          <w:tcPr>
            <w:tcW w:w="1234"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计容积率建筑面积</w:t>
            </w:r>
            <w:r>
              <w:rPr>
                <w:rFonts w:hint="default" w:ascii="Times New Roman" w:hAnsi="Times New Roman" w:eastAsia="宋体" w:cs="Times New Roman"/>
                <w:color w:val="000000"/>
                <w:spacing w:val="0"/>
                <w:w w:val="100"/>
                <w:position w:val="0"/>
                <w:sz w:val="22"/>
                <w:szCs w:val="22"/>
                <w:lang w:val="en-US" w:eastAsia="zh-CN"/>
              </w:rPr>
              <w:t>S</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875"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绿地率</w:t>
            </w:r>
            <w:r>
              <w:rPr>
                <w:rFonts w:hint="default" w:ascii="Times New Roman" w:hAnsi="Times New Roman" w:eastAsia="宋体" w:cs="Times New Roman"/>
                <w:color w:val="000000"/>
                <w:spacing w:val="0"/>
                <w:w w:val="100"/>
                <w:position w:val="0"/>
                <w:sz w:val="22"/>
                <w:szCs w:val="22"/>
                <w:lang w:val="en-US" w:eastAsia="zh-CN"/>
              </w:rPr>
              <w:t>（%）</w:t>
            </w:r>
          </w:p>
        </w:tc>
        <w:tc>
          <w:tcPr>
            <w:tcW w:w="1997"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zh-TW" w:eastAsia="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zh-TW" w:eastAsia="zh-TW"/>
              </w:rPr>
              <w:t>机动车停车位配建要求</w:t>
            </w:r>
          </w:p>
        </w:tc>
        <w:tc>
          <w:tcPr>
            <w:tcW w:w="445"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其他</w:t>
            </w:r>
          </w:p>
        </w:tc>
        <w:tc>
          <w:tcPr>
            <w:tcW w:w="1085" w:type="dxa"/>
            <w:vMerge w:val="continue"/>
            <w:tcBorders>
              <w:left w:val="single" w:color="auto" w:sz="4" w:space="0"/>
              <w:right w:val="single" w:color="auto" w:sz="4" w:space="0"/>
            </w:tcBorders>
            <w:shd w:val="clear" w:color="auto" w:fill="auto"/>
            <w:textDirection w:val="tbRlV"/>
            <w:vAlign w:val="top"/>
          </w:tcPr>
          <w:p>
            <w:pPr>
              <w:pStyle w:val="21"/>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cs="Times New Roman"/>
                <w:lang w:val="en-US" w:eastAsia="zh-CN"/>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595" w:type="dxa"/>
            <w:tcBorders>
              <w:top w:val="single" w:color="auto" w:sz="4" w:space="0"/>
              <w:left w:val="single" w:color="auto" w:sz="4" w:space="0"/>
              <w:bottom w:val="single" w:color="auto" w:sz="4" w:space="0"/>
            </w:tcBorders>
            <w:shd w:val="clear" w:color="auto" w:fill="auto"/>
            <w:vAlign w:val="top"/>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惠仲土（用地）挂[2022]01</w:t>
            </w:r>
            <w:r>
              <w:rPr>
                <w:rFonts w:hint="eastAsia" w:ascii="Times New Roman" w:hAnsi="Times New Roman" w:eastAsia="宋体" w:cs="Times New Roman"/>
                <w:b w:val="0"/>
                <w:bCs w:val="0"/>
                <w:color w:val="auto"/>
                <w:sz w:val="18"/>
                <w:szCs w:val="18"/>
                <w:highlight w:val="none"/>
                <w:vertAlign w:val="baseline"/>
                <w:lang w:val="en-US" w:eastAsia="zh-CN"/>
              </w:rPr>
              <w:t>7</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840"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惠州市仲恺高新区沥林镇</w:t>
            </w:r>
          </w:p>
        </w:tc>
        <w:tc>
          <w:tcPr>
            <w:tcW w:w="744"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ZKE-048-21</w:t>
            </w:r>
          </w:p>
        </w:tc>
        <w:tc>
          <w:tcPr>
            <w:tcW w:w="749"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住宅及商服用地</w:t>
            </w:r>
          </w:p>
        </w:tc>
        <w:tc>
          <w:tcPr>
            <w:tcW w:w="1116"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52164</w:t>
            </w:r>
          </w:p>
        </w:tc>
        <w:tc>
          <w:tcPr>
            <w:tcW w:w="936"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46213</w:t>
            </w:r>
          </w:p>
        </w:tc>
        <w:tc>
          <w:tcPr>
            <w:tcW w:w="708"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≤22</w:t>
            </w:r>
          </w:p>
        </w:tc>
        <w:tc>
          <w:tcPr>
            <w:tcW w:w="664"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w:t>
            </w:r>
            <w:r>
              <w:rPr>
                <w:rFonts w:hint="eastAsia" w:ascii="Times New Roman" w:hAnsi="Times New Roman" w:eastAsia="宋体" w:cs="Times New Roman"/>
                <w:b w:val="0"/>
                <w:bCs w:val="0"/>
                <w:color w:val="auto"/>
                <w:sz w:val="18"/>
                <w:szCs w:val="18"/>
                <w:highlight w:val="none"/>
                <w:vertAlign w:val="baseline"/>
                <w:lang w:val="en-US" w:eastAsia="zh-CN"/>
              </w:rPr>
              <w:t>8</w:t>
            </w:r>
          </w:p>
        </w:tc>
        <w:tc>
          <w:tcPr>
            <w:tcW w:w="1234"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≤146059（兼容的商业建筑面积≤14606㎡，不得建设服务型公寓）</w:t>
            </w:r>
          </w:p>
        </w:tc>
        <w:tc>
          <w:tcPr>
            <w:tcW w:w="875"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≥35</w:t>
            </w:r>
          </w:p>
        </w:tc>
        <w:tc>
          <w:tcPr>
            <w:tcW w:w="1997"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Times New Roman" w:hAnsi="Times New Roman" w:eastAsia="宋体" w:cs="Times New Roman"/>
                <w:b w:val="0"/>
                <w:bCs w:val="0"/>
                <w:color w:val="auto"/>
                <w:sz w:val="18"/>
                <w:szCs w:val="18"/>
                <w:highlight w:val="none"/>
                <w:vertAlign w:val="baseline"/>
                <w:lang w:val="en-US" w:eastAsia="zh-CN"/>
              </w:rPr>
              <w:t>住宅按每100㎡计容积率建筑面积≥1.0个配置，商业按每100㎡计容积率建筑面积≥1.0个配置，地面停车数占总停车数的比例≤10%。配建停车位应按要求建设充电基础设施或预留建设安装条件。</w:t>
            </w:r>
          </w:p>
        </w:tc>
        <w:tc>
          <w:tcPr>
            <w:tcW w:w="445" w:type="dxa"/>
            <w:tcBorders>
              <w:top w:val="single" w:color="auto" w:sz="4" w:space="0"/>
              <w:left w:val="single" w:color="auto" w:sz="4" w:space="0"/>
              <w:bottom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jc w:val="both"/>
              <w:rPr>
                <w:rFonts w:hint="eastAsia"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w:t>
            </w:r>
            <w:r>
              <w:rPr>
                <w:rFonts w:hint="eastAsia"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val="en-US" w:eastAsia="zh-CN"/>
              </w:rPr>
              <w:t>70年</w:t>
            </w:r>
          </w:p>
          <w:p>
            <w:pPr>
              <w:widowControl w:val="0"/>
              <w:shd w:val="clear" w:color="auto" w:fill="auto"/>
              <w:jc w:val="both"/>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商服</w:t>
            </w:r>
            <w:r>
              <w:rPr>
                <w:rFonts w:hint="eastAsia"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49692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750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p>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24846</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w:t>
            </w:r>
            <w:r>
              <w:rPr>
                <w:rFonts w:hint="eastAsia" w:eastAsia="宋体"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年</w:t>
            </w:r>
            <w:r>
              <w:rPr>
                <w:rFonts w:hint="eastAsia" w:eastAsia="宋体" w:cs="Times New Roman"/>
                <w:b w:val="0"/>
                <w:bCs w:val="0"/>
                <w:color w:val="auto"/>
                <w:sz w:val="18"/>
                <w:szCs w:val="18"/>
                <w:highlight w:val="none"/>
                <w:vertAlign w:val="baseline"/>
                <w:lang w:val="en-US" w:eastAsia="zh-CN"/>
              </w:rPr>
              <w:t>1</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eastAsia="宋体" w:cs="Times New Roman"/>
                <w:b w:val="0"/>
                <w:bCs w:val="0"/>
                <w:color w:val="auto"/>
                <w:sz w:val="18"/>
                <w:szCs w:val="18"/>
                <w:highlight w:val="none"/>
                <w:vertAlign w:val="baseline"/>
                <w:lang w:val="en-US" w:eastAsia="zh-CN"/>
              </w:rPr>
              <w:t>17</w:t>
            </w:r>
            <w:r>
              <w:rPr>
                <w:rFonts w:hint="default" w:ascii="Times New Roman" w:hAnsi="Times New Roman" w:eastAsia="宋体" w:cs="Times New Roman"/>
                <w:b w:val="0"/>
                <w:bCs w:val="0"/>
                <w:color w:val="auto"/>
                <w:sz w:val="18"/>
                <w:szCs w:val="18"/>
                <w:highlight w:val="none"/>
                <w:vertAlign w:val="baseline"/>
                <w:lang w:val="en-US" w:eastAsia="zh-CN"/>
              </w:rPr>
              <w:t>日</w:t>
            </w:r>
            <w:r>
              <w:rPr>
                <w:rFonts w:hint="eastAsia" w:eastAsia="宋体" w:cs="Times New Roman"/>
                <w:b w:val="0"/>
                <w:bCs w:val="0"/>
                <w:color w:val="auto"/>
                <w:sz w:val="18"/>
                <w:szCs w:val="18"/>
                <w:highlight w:val="none"/>
                <w:vertAlign w:val="baseline"/>
                <w:lang w:val="en-US" w:eastAsia="zh-CN"/>
              </w:rPr>
              <w:t xml:space="preserve">  9</w:t>
            </w:r>
            <w:r>
              <w:rPr>
                <w:rFonts w:hint="default" w:ascii="Times New Roman" w:hAnsi="Times New Roman" w:eastAsia="宋体" w:cs="Times New Roman"/>
                <w:b w:val="0"/>
                <w:bCs w:val="0"/>
                <w:color w:val="auto"/>
                <w:sz w:val="18"/>
                <w:szCs w:val="18"/>
                <w:highlight w:val="none"/>
                <w:vertAlign w:val="baseline"/>
                <w:lang w:val="en-US" w:eastAsia="zh-CN"/>
              </w:rPr>
              <w:t>时</w:t>
            </w:r>
          </w:p>
        </w:tc>
      </w:tr>
    </w:tbl>
    <w:p>
      <w:pPr>
        <w:pStyle w:val="2"/>
        <w:ind w:left="0" w:leftChars="0" w:firstLine="0" w:firstLineChars="0"/>
      </w:pPr>
    </w:p>
    <w:sectPr>
      <w:pgSz w:w="16838" w:h="11906" w:orient="landscape"/>
      <w:pgMar w:top="1587" w:right="2098" w:bottom="1417"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5B5254B6"/>
    <w:rsid w:val="024F76EA"/>
    <w:rsid w:val="04477832"/>
    <w:rsid w:val="13BA67B2"/>
    <w:rsid w:val="16B62263"/>
    <w:rsid w:val="243A2DBA"/>
    <w:rsid w:val="243D6A5E"/>
    <w:rsid w:val="2BA81349"/>
    <w:rsid w:val="2C0D301E"/>
    <w:rsid w:val="352D341E"/>
    <w:rsid w:val="354F3B80"/>
    <w:rsid w:val="3596253F"/>
    <w:rsid w:val="38D21DEA"/>
    <w:rsid w:val="3E82728E"/>
    <w:rsid w:val="3F541574"/>
    <w:rsid w:val="5B5254B6"/>
    <w:rsid w:val="5F1009E9"/>
    <w:rsid w:val="63BF4A73"/>
    <w:rsid w:val="64261DB0"/>
    <w:rsid w:val="674E0414"/>
    <w:rsid w:val="6B562FEA"/>
    <w:rsid w:val="6EF92893"/>
    <w:rsid w:val="6FDD060B"/>
    <w:rsid w:val="7739067D"/>
    <w:rsid w:val="7BC8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jc w:val="left"/>
    </w:pPr>
    <w:rPr>
      <w:kern w:val="0"/>
      <w:sz w:val="24"/>
    </w:rPr>
  </w:style>
  <w:style w:type="character" w:styleId="11">
    <w:name w:val="Hyperlink"/>
    <w:basedOn w:val="10"/>
    <w:semiHidden/>
    <w:unhideWhenUsed/>
    <w:qFormat/>
    <w:uiPriority w:val="99"/>
    <w:rPr>
      <w:color w:val="337AB7"/>
      <w:u w:val="none"/>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4">
    <w:name w:val="我的正文"/>
    <w:basedOn w:val="15"/>
    <w:qFormat/>
    <w:uiPriority w:val="0"/>
    <w:pPr>
      <w:spacing w:line="560" w:lineRule="exact"/>
      <w:ind w:firstLine="200" w:firstLineChars="200"/>
    </w:pPr>
    <w:rPr>
      <w:rFonts w:eastAsia="仿宋_GB2312"/>
      <w:sz w:val="32"/>
      <w:szCs w:val="32"/>
    </w:rPr>
  </w:style>
  <w:style w:type="paragraph" w:customStyle="1" w:styleId="15">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6">
    <w:name w:val="p0"/>
    <w:basedOn w:val="1"/>
    <w:qFormat/>
    <w:uiPriority w:val="0"/>
    <w:pPr>
      <w:widowControl/>
    </w:pPr>
    <w:rPr>
      <w:kern w:val="0"/>
      <w:szCs w:val="21"/>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22">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3380</Words>
  <Characters>3707</Characters>
  <Lines>0</Lines>
  <Paragraphs>0</Paragraphs>
  <TotalTime>29</TotalTime>
  <ScaleCrop>false</ScaleCrop>
  <LinksUpToDate>false</LinksUpToDate>
  <CharactersWithSpaces>3770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2022-11-14T02:27:00Z</dcterms:created>
  <dc:creator>杨立</dc:creator>
  <cp:lastModifiedBy>赖仕彬</cp:lastModifiedBy>
  <cp:lastPrinted>2022-11-14T03:26:00Z</cp:lastPrinted>
  <dcterms:modified xsi:type="dcterms:W3CDTF">2022-12-09T09:24:15Z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E789B745E00448DCAFCD8EFD26162B4F</vt:lpwstr>
  </property>
</Properties>
</file>